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3ACD0">
      <w:pPr>
        <w:pStyle w:val="2"/>
        <w:jc w:val="both"/>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bookmarkStart w:id="0" w:name="_GoBack"/>
      <w:bookmarkEnd w:id="0"/>
    </w:p>
    <w:p w14:paraId="63FAE964">
      <w:pPr>
        <w:pStyle w:val="2"/>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询价需求资料清单</w:t>
      </w:r>
    </w:p>
    <w:p w14:paraId="3B5B8095">
      <w:pPr>
        <w:pStyle w:val="2"/>
        <w:rPr>
          <w:rFonts w:ascii="Times New Roman" w:hAnsi="Times New Roman" w:eastAsia="仿宋" w:cs="Times New Roman"/>
          <w:sz w:val="24"/>
          <w:szCs w:val="24"/>
        </w:rPr>
      </w:pPr>
    </w:p>
    <w:p w14:paraId="1BC9BAC7">
      <w:pPr>
        <w:numPr>
          <w:ilvl w:val="0"/>
          <w:numId w:val="1"/>
        </w:numPr>
        <w:rPr>
          <w:rFonts w:ascii="Times New Roman" w:hAnsi="Times New Roman" w:eastAsia="仿宋" w:cs="Times New Roman"/>
          <w:b/>
          <w:bCs/>
          <w:sz w:val="24"/>
        </w:rPr>
      </w:pPr>
      <w:r>
        <w:rPr>
          <w:rFonts w:hint="eastAsia" w:ascii="Times New Roman" w:hAnsi="Times New Roman" w:eastAsia="仿宋" w:cs="Times New Roman"/>
          <w:b/>
          <w:bCs/>
          <w:sz w:val="24"/>
          <w:lang w:val="en-US" w:eastAsia="zh-CN"/>
        </w:rPr>
        <w:t>资质情况</w:t>
      </w:r>
    </w:p>
    <w:p w14:paraId="5D80343D">
      <w:pPr>
        <w:pStyle w:val="3"/>
        <w:spacing w:beforeLines="10" w:afterLines="10" w:line="38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1.提供营业执照等证明文件（如营业执照或者事业单位法人证书或者执业许可证等），</w:t>
      </w:r>
      <w:r>
        <w:rPr>
          <w:rFonts w:hint="eastAsia" w:ascii="Times New Roman" w:hAnsi="Times New Roman" w:eastAsia="仿宋" w:cs="Times New Roman"/>
          <w:sz w:val="24"/>
        </w:rPr>
        <w:t>提供</w:t>
      </w:r>
      <w:r>
        <w:rPr>
          <w:rFonts w:ascii="Times New Roman" w:hAnsi="Times New Roman" w:eastAsia="仿宋" w:cs="Times New Roman"/>
          <w:sz w:val="24"/>
        </w:rPr>
        <w:t>CMA实验室资质认定证书及其附表复印件。（</w:t>
      </w:r>
      <w:r>
        <w:rPr>
          <w:rFonts w:ascii="Times New Roman" w:hAnsi="Times New Roman" w:eastAsia="仿宋" w:cs="Times New Roman"/>
          <w:b/>
          <w:sz w:val="24"/>
        </w:rPr>
        <w:t>必须提供，否则响应文件按无效响应处理</w:t>
      </w:r>
      <w:r>
        <w:rPr>
          <w:rFonts w:ascii="Times New Roman" w:hAnsi="Times New Roman" w:eastAsia="仿宋" w:cs="Times New Roman"/>
          <w:sz w:val="24"/>
        </w:rPr>
        <w:t>）</w:t>
      </w:r>
    </w:p>
    <w:p w14:paraId="33F17099">
      <w:pPr>
        <w:numPr>
          <w:ilvl w:val="0"/>
          <w:numId w:val="1"/>
        </w:numPr>
        <w:rPr>
          <w:rFonts w:hint="default"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守法信用材料</w:t>
      </w:r>
    </w:p>
    <w:p w14:paraId="058D52D4">
      <w:pPr>
        <w:snapToGrid w:val="0"/>
        <w:spacing w:beforeLines="10" w:afterLines="10" w:line="38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rPr>
        <w:t>提供近半年内</w:t>
      </w:r>
      <w:r>
        <w:rPr>
          <w:rFonts w:ascii="Times New Roman" w:hAnsi="Times New Roman" w:eastAsia="仿宋" w:cs="Times New Roman"/>
          <w:sz w:val="24"/>
        </w:rPr>
        <w:t>依法缴纳税收的相关材料</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 w:cs="Times New Roman"/>
          <w:sz w:val="24"/>
          <w:lang w:eastAsia="zh-CN"/>
        </w:rPr>
        <w:t>依法缴纳税收的凭据复印件；依法免税的，须提供相应文件证明。从取得营业执照时间起到首次响应文件提交截止时间为止不足要求月数的，只需提供从取得营业执照起的依法缴纳税收相应证明文件）</w:t>
      </w:r>
      <w:r>
        <w:rPr>
          <w:rFonts w:hint="eastAsia" w:ascii="Times New Roman" w:hAnsi="Times New Roman" w:eastAsia="仿宋" w:cs="Times New Roman"/>
          <w:sz w:val="24"/>
        </w:rPr>
        <w:t>。</w:t>
      </w:r>
      <w:r>
        <w:rPr>
          <w:rFonts w:ascii="Times New Roman" w:hAnsi="Times New Roman" w:eastAsia="仿宋" w:cs="Times New Roman"/>
          <w:sz w:val="24"/>
        </w:rPr>
        <w:t>（</w:t>
      </w:r>
      <w:r>
        <w:rPr>
          <w:rFonts w:ascii="Times New Roman" w:hAnsi="Times New Roman" w:eastAsia="仿宋" w:cs="Times New Roman"/>
          <w:b/>
          <w:sz w:val="24"/>
        </w:rPr>
        <w:t>必须提供，否则响应文件按无效响应处理</w:t>
      </w:r>
      <w:r>
        <w:rPr>
          <w:rFonts w:ascii="Times New Roman" w:hAnsi="Times New Roman" w:eastAsia="仿宋" w:cs="Times New Roman"/>
          <w:sz w:val="24"/>
        </w:rPr>
        <w:t>）</w:t>
      </w:r>
    </w:p>
    <w:p w14:paraId="5CA04E38">
      <w:pPr>
        <w:snapToGrid w:val="0"/>
        <w:spacing w:beforeLines="10" w:afterLines="10" w:line="38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3.</w:t>
      </w:r>
      <w:r>
        <w:rPr>
          <w:rFonts w:hint="eastAsia" w:ascii="Times New Roman" w:hAnsi="Times New Roman" w:eastAsia="仿宋" w:cs="Times New Roman"/>
          <w:sz w:val="24"/>
        </w:rPr>
        <w:t>提供近半年</w:t>
      </w:r>
      <w:r>
        <w:rPr>
          <w:rFonts w:ascii="Times New Roman" w:hAnsi="Times New Roman" w:eastAsia="仿宋" w:cs="Times New Roman"/>
          <w:sz w:val="24"/>
        </w:rPr>
        <w:t>依法缴纳社会保障资金的相关材料</w:t>
      </w:r>
      <w:r>
        <w:rPr>
          <w:rFonts w:hint="default" w:ascii="Times New Roman" w:hAnsi="Times New Roman" w:eastAsia="仿宋" w:cs="Times New Roman"/>
          <w:sz w:val="24"/>
          <w:lang w:eastAsia="zh-CN"/>
        </w:rPr>
        <w:t>（专用收据或者社会保险缴纳清单）复印件；依法不需要缴纳社会保障资金的，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Times New Roman" w:hAnsi="Times New Roman" w:eastAsia="仿宋" w:cs="Times New Roman"/>
          <w:sz w:val="24"/>
        </w:rPr>
        <w:t>。</w:t>
      </w:r>
      <w:r>
        <w:rPr>
          <w:rFonts w:ascii="Times New Roman" w:hAnsi="Times New Roman" w:eastAsia="仿宋" w:cs="Times New Roman"/>
          <w:sz w:val="24"/>
        </w:rPr>
        <w:t>（</w:t>
      </w:r>
      <w:r>
        <w:rPr>
          <w:rFonts w:ascii="Times New Roman" w:hAnsi="Times New Roman" w:eastAsia="仿宋" w:cs="Times New Roman"/>
          <w:b/>
          <w:sz w:val="24"/>
        </w:rPr>
        <w:t>必须提供，否则响应文件按无效响应处理</w:t>
      </w:r>
      <w:r>
        <w:rPr>
          <w:rFonts w:ascii="Times New Roman" w:hAnsi="Times New Roman" w:eastAsia="仿宋" w:cs="Times New Roman"/>
          <w:sz w:val="24"/>
        </w:rPr>
        <w:t>）</w:t>
      </w:r>
    </w:p>
    <w:p w14:paraId="3A7D5C5B">
      <w:pPr>
        <w:snapToGrid w:val="0"/>
        <w:spacing w:beforeLines="10" w:afterLines="10" w:line="380" w:lineRule="exact"/>
        <w:ind w:firstLine="480" w:firstLineChars="200"/>
        <w:jc w:val="left"/>
        <w:rPr>
          <w:rFonts w:ascii="Times New Roman" w:hAnsi="Times New Roman" w:eastAsia="仿宋" w:cs="Times New Roman"/>
          <w:sz w:val="24"/>
        </w:rPr>
      </w:pPr>
      <w:r>
        <w:rPr>
          <w:rFonts w:ascii="Times New Roman" w:hAnsi="Times New Roman" w:eastAsia="仿宋" w:cs="Times New Roman"/>
          <w:sz w:val="24"/>
        </w:rPr>
        <w:t>4.</w:t>
      </w:r>
      <w:r>
        <w:rPr>
          <w:rFonts w:hint="eastAsia" w:ascii="Times New Roman" w:hAnsi="Times New Roman" w:eastAsia="仿宋" w:cs="Times New Roman"/>
          <w:sz w:val="24"/>
        </w:rPr>
        <w:t>提供上一</w:t>
      </w:r>
      <w:r>
        <w:rPr>
          <w:rFonts w:ascii="Times New Roman" w:hAnsi="Times New Roman" w:eastAsia="仿宋" w:cs="Times New Roman"/>
          <w:sz w:val="24"/>
        </w:rPr>
        <w:t>年</w:t>
      </w:r>
      <w:r>
        <w:rPr>
          <w:rFonts w:hint="eastAsia" w:ascii="Times New Roman" w:hAnsi="Times New Roman" w:eastAsia="仿宋" w:cs="Times New Roman"/>
          <w:sz w:val="24"/>
        </w:rPr>
        <w:t>度</w:t>
      </w:r>
      <w:r>
        <w:rPr>
          <w:rFonts w:ascii="Times New Roman" w:hAnsi="Times New Roman" w:eastAsia="仿宋" w:cs="Times New Roman"/>
          <w:sz w:val="24"/>
        </w:rPr>
        <w:t>财务状况报告及开户行出具的银行资信证明文件</w:t>
      </w:r>
      <w:r>
        <w:rPr>
          <w:rFonts w:hint="default" w:ascii="Times New Roman" w:hAnsi="Times New Roman" w:eastAsia="仿宋" w:cs="Times New Roman"/>
          <w:sz w:val="24"/>
          <w:lang w:eastAsia="zh-CN"/>
        </w:rPr>
        <w:t>（格式自拟，如新成立企业，根据实际情况提供。财务状况报告内容包括资产负债表、利润表、现金流量表，表格样式可以自行编制或第三方审计提供表格）</w:t>
      </w:r>
      <w:r>
        <w:rPr>
          <w:rFonts w:hint="eastAsia" w:ascii="Times New Roman" w:hAnsi="Times New Roman" w:eastAsia="仿宋" w:cs="Times New Roman"/>
          <w:sz w:val="24"/>
        </w:rPr>
        <w:t>。</w:t>
      </w:r>
      <w:r>
        <w:rPr>
          <w:rFonts w:ascii="Times New Roman" w:hAnsi="Times New Roman" w:eastAsia="仿宋" w:cs="Times New Roman"/>
          <w:bCs/>
          <w:sz w:val="24"/>
        </w:rPr>
        <w:t>（</w:t>
      </w:r>
      <w:r>
        <w:rPr>
          <w:rFonts w:ascii="Times New Roman" w:hAnsi="Times New Roman" w:eastAsia="仿宋" w:cs="Times New Roman"/>
          <w:b/>
          <w:sz w:val="24"/>
        </w:rPr>
        <w:t>必须提供，否则响应文件按无效响应处理</w:t>
      </w:r>
      <w:r>
        <w:rPr>
          <w:rFonts w:ascii="Times New Roman" w:hAnsi="Times New Roman" w:eastAsia="仿宋" w:cs="Times New Roman"/>
          <w:bCs/>
          <w:sz w:val="24"/>
        </w:rPr>
        <w:t>）</w:t>
      </w:r>
    </w:p>
    <w:p w14:paraId="19D1C569">
      <w:pPr>
        <w:spacing w:beforeLines="10" w:afterLines="10" w:line="38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5</w:t>
      </w:r>
      <w:r>
        <w:rPr>
          <w:rFonts w:ascii="Times New Roman" w:hAnsi="Times New Roman" w:eastAsia="仿宋" w:cs="Times New Roman"/>
          <w:sz w:val="24"/>
        </w:rPr>
        <w:t>.无串通竞标行为的承诺函；（</w:t>
      </w:r>
      <w:r>
        <w:rPr>
          <w:rFonts w:ascii="Times New Roman" w:hAnsi="Times New Roman" w:eastAsia="仿宋" w:cs="Times New Roman"/>
          <w:b/>
          <w:sz w:val="24"/>
        </w:rPr>
        <w:t>必须提供，否则响应文件按无效响应处理</w:t>
      </w:r>
      <w:r>
        <w:rPr>
          <w:rFonts w:ascii="Times New Roman" w:hAnsi="Times New Roman" w:eastAsia="仿宋" w:cs="Times New Roman"/>
          <w:sz w:val="24"/>
        </w:rPr>
        <w:t>）</w:t>
      </w:r>
    </w:p>
    <w:p w14:paraId="72D437EE">
      <w:pPr>
        <w:pStyle w:val="2"/>
        <w:keepNext w:val="0"/>
        <w:keepLines w:val="0"/>
        <w:pageBreakBefore w:val="0"/>
        <w:widowControl w:val="0"/>
        <w:kinsoku/>
        <w:wordWrap/>
        <w:overflowPunct/>
        <w:topLinePunct w:val="0"/>
        <w:autoSpaceDE/>
        <w:autoSpaceDN/>
        <w:bidi w:val="0"/>
        <w:adjustRightInd/>
        <w:snapToGrid w:val="0"/>
        <w:ind w:firstLine="480" w:firstLineChars="200"/>
        <w:textAlignment w:val="auto"/>
        <w:rPr>
          <w:rFonts w:ascii="Times New Roman" w:hAnsi="Times New Roman" w:eastAsia="仿宋" w:cs="Times New Roman"/>
          <w:sz w:val="24"/>
        </w:rPr>
      </w:pPr>
      <w:r>
        <w:rPr>
          <w:rFonts w:hint="eastAsia" w:ascii="Times New Roman" w:hAnsi="Times New Roman" w:eastAsia="仿宋" w:cs="Times New Roman"/>
          <w:sz w:val="24"/>
          <w:lang w:val="en-US" w:eastAsia="zh-CN"/>
        </w:rPr>
        <w:t>6.近2年内无违法违规及被相关部门处罚情况说明，格式自拟。</w:t>
      </w:r>
      <w:r>
        <w:rPr>
          <w:rFonts w:ascii="Times New Roman" w:hAnsi="Times New Roman" w:eastAsia="仿宋" w:cs="Times New Roman"/>
          <w:sz w:val="24"/>
        </w:rPr>
        <w:t>（</w:t>
      </w:r>
      <w:r>
        <w:rPr>
          <w:rFonts w:ascii="Times New Roman" w:hAnsi="Times New Roman" w:eastAsia="仿宋" w:cs="Times New Roman"/>
          <w:b/>
          <w:sz w:val="24"/>
        </w:rPr>
        <w:t>必须提供，否则响应文件按无效响应处理</w:t>
      </w:r>
      <w:r>
        <w:rPr>
          <w:rFonts w:ascii="Times New Roman" w:hAnsi="Times New Roman" w:eastAsia="仿宋" w:cs="Times New Roman"/>
          <w:sz w:val="24"/>
        </w:rPr>
        <w:t>）</w:t>
      </w:r>
    </w:p>
    <w:p w14:paraId="23E76032">
      <w:pPr>
        <w:numPr>
          <w:ilvl w:val="0"/>
          <w:numId w:val="1"/>
        </w:numPr>
        <w:rPr>
          <w:rFonts w:hint="default"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报价材料</w:t>
      </w:r>
    </w:p>
    <w:p w14:paraId="7D139F8A">
      <w:pPr>
        <w:spacing w:beforeLines="10" w:afterLines="10" w:line="38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提供</w:t>
      </w:r>
      <w:r>
        <w:rPr>
          <w:rFonts w:hint="eastAsia" w:ascii="Times New Roman" w:hAnsi="Times New Roman" w:eastAsia="仿宋" w:cs="Times New Roman"/>
          <w:sz w:val="24"/>
          <w:lang w:val="en-US" w:eastAsia="zh-CN"/>
        </w:rPr>
        <w:t>竞标</w:t>
      </w:r>
      <w:r>
        <w:rPr>
          <w:rFonts w:hint="eastAsia" w:ascii="Times New Roman" w:hAnsi="Times New Roman" w:eastAsia="仿宋" w:cs="Times New Roman"/>
          <w:sz w:val="24"/>
        </w:rPr>
        <w:t>报价表格、说明等材料。</w:t>
      </w:r>
      <w:r>
        <w:rPr>
          <w:rFonts w:ascii="Times New Roman" w:hAnsi="Times New Roman" w:eastAsia="仿宋" w:cs="Times New Roman"/>
          <w:sz w:val="24"/>
        </w:rPr>
        <w:t>（</w:t>
      </w:r>
      <w:r>
        <w:rPr>
          <w:rFonts w:ascii="Times New Roman" w:hAnsi="Times New Roman" w:eastAsia="仿宋" w:cs="Times New Roman"/>
          <w:b/>
          <w:sz w:val="24"/>
        </w:rPr>
        <w:t>必须提供，否则响应文件按无效响应处理</w:t>
      </w:r>
      <w:r>
        <w:rPr>
          <w:rFonts w:ascii="Times New Roman" w:hAnsi="Times New Roman" w:eastAsia="仿宋" w:cs="Times New Roman"/>
          <w:sz w:val="24"/>
        </w:rPr>
        <w:t>）</w:t>
      </w:r>
    </w:p>
    <w:p w14:paraId="1E813F9C">
      <w:pPr>
        <w:numPr>
          <w:ilvl w:val="0"/>
          <w:numId w:val="1"/>
        </w:numPr>
        <w:rPr>
          <w:rFonts w:hint="eastAsia"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服务方案及其质控、管理措施</w:t>
      </w:r>
    </w:p>
    <w:p w14:paraId="4E68DEA9">
      <w:pPr>
        <w:spacing w:beforeLines="10" w:afterLines="10" w:line="38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服务方案应包括单位简介〔包括该机构成立年限、营业执照的批准时间、截止时间、经营状况、有关部门资信评价（若有）、办公条件（地点、面积、开标评标场地、专家库等本地化服务能力证明）、经营业绩、有无违反国家政策、法规情况，是否有过不良记录等内容〕、项目组织计划及拟投入本项目人员名单、服务承诺、工作方案等内容。</w:t>
      </w:r>
      <w:r>
        <w:rPr>
          <w:rFonts w:ascii="Times New Roman" w:hAnsi="Times New Roman" w:eastAsia="仿宋" w:cs="Times New Roman"/>
          <w:sz w:val="24"/>
        </w:rPr>
        <w:t>（</w:t>
      </w:r>
      <w:r>
        <w:rPr>
          <w:rFonts w:ascii="Times New Roman" w:hAnsi="Times New Roman" w:eastAsia="仿宋" w:cs="Times New Roman"/>
          <w:b/>
          <w:sz w:val="24"/>
        </w:rPr>
        <w:t>必须提供，否则响应文件按无效响应处理</w:t>
      </w:r>
      <w:r>
        <w:rPr>
          <w:rFonts w:ascii="Times New Roman" w:hAnsi="Times New Roman" w:eastAsia="仿宋" w:cs="Times New Roman"/>
          <w:sz w:val="24"/>
        </w:rPr>
        <w:t>）</w:t>
      </w:r>
    </w:p>
    <w:p w14:paraId="7F1F654E">
      <w:pPr>
        <w:numPr>
          <w:ilvl w:val="0"/>
          <w:numId w:val="1"/>
        </w:numPr>
        <w:rPr>
          <w:rFonts w:hint="default"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服务优势材料</w:t>
      </w:r>
    </w:p>
    <w:p w14:paraId="63D052E1">
      <w:pPr>
        <w:spacing w:beforeLines="10" w:afterLines="10" w:line="38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lang w:val="en-US" w:eastAsia="zh-CN"/>
        </w:rPr>
        <w:t>1.</w:t>
      </w:r>
      <w:r>
        <w:rPr>
          <w:rFonts w:hint="eastAsia" w:ascii="Times New Roman" w:hAnsi="Times New Roman" w:eastAsia="仿宋" w:cs="Times New Roman"/>
          <w:sz w:val="24"/>
        </w:rPr>
        <w:t>提供</w:t>
      </w:r>
      <w:r>
        <w:rPr>
          <w:rFonts w:ascii="Times New Roman" w:hAnsi="Times New Roman" w:eastAsia="仿宋" w:cs="Times New Roman"/>
          <w:sz w:val="24"/>
        </w:rPr>
        <w:t>对应采购需求的技术优势、经验优势、资质优势</w:t>
      </w:r>
      <w:r>
        <w:rPr>
          <w:rFonts w:hint="eastAsia" w:ascii="Times New Roman" w:hAnsi="Times New Roman" w:eastAsia="仿宋" w:cs="Times New Roman"/>
          <w:sz w:val="24"/>
        </w:rPr>
        <w:t>、需外包事项</w:t>
      </w:r>
      <w:r>
        <w:rPr>
          <w:rFonts w:ascii="Times New Roman" w:hAnsi="Times New Roman" w:eastAsia="仿宋" w:cs="Times New Roman"/>
          <w:sz w:val="24"/>
        </w:rPr>
        <w:t>等方面情况说明（原件）及佐证材料；（</w:t>
      </w:r>
      <w:r>
        <w:rPr>
          <w:rFonts w:ascii="Times New Roman" w:hAnsi="Times New Roman" w:eastAsia="仿宋" w:cs="Times New Roman"/>
          <w:b/>
          <w:sz w:val="24"/>
        </w:rPr>
        <w:t>必须提供，否则响应文件按无效响应处理</w:t>
      </w:r>
      <w:r>
        <w:rPr>
          <w:rFonts w:ascii="Times New Roman" w:hAnsi="Times New Roman" w:eastAsia="仿宋" w:cs="Times New Roman"/>
          <w:sz w:val="24"/>
        </w:rPr>
        <w:t>）</w:t>
      </w:r>
    </w:p>
    <w:p w14:paraId="3974894A">
      <w:pPr>
        <w:spacing w:beforeLines="10" w:afterLines="10" w:line="380" w:lineRule="exact"/>
        <w:ind w:firstLine="480" w:firstLineChars="200"/>
        <w:rPr>
          <w:rFonts w:ascii="Times New Roman" w:hAnsi="Times New Roman" w:eastAsia="仿宋" w:cs="Times New Roman"/>
          <w:sz w:val="24"/>
        </w:rPr>
      </w:pPr>
      <w:r>
        <w:rPr>
          <w:rFonts w:hint="eastAsia" w:ascii="Times New Roman" w:hAnsi="Times New Roman" w:eastAsia="仿宋" w:cs="Times New Roman"/>
          <w:sz w:val="24"/>
        </w:rPr>
        <w:t>2</w:t>
      </w:r>
      <w:r>
        <w:rPr>
          <w:rFonts w:ascii="Times New Roman" w:hAnsi="Times New Roman" w:eastAsia="仿宋" w:cs="Times New Roman"/>
          <w:sz w:val="24"/>
        </w:rPr>
        <w:t>.</w:t>
      </w:r>
      <w:r>
        <w:rPr>
          <w:rFonts w:hint="eastAsia" w:ascii="Times New Roman" w:hAnsi="Times New Roman" w:eastAsia="仿宋" w:cs="Times New Roman"/>
          <w:sz w:val="24"/>
        </w:rPr>
        <w:t>提供质量管理体系认证证书、社会道德责任标准等证书、环境管理体系认证证书、职业健康安全管理体系认证证书等</w:t>
      </w:r>
      <w:r>
        <w:rPr>
          <w:rFonts w:ascii="Times New Roman" w:hAnsi="Times New Roman" w:eastAsia="仿宋" w:cs="Times New Roman"/>
          <w:sz w:val="24"/>
        </w:rPr>
        <w:t>。</w:t>
      </w:r>
    </w:p>
    <w:p w14:paraId="2C93DD0E">
      <w:pPr>
        <w:pStyle w:val="2"/>
        <w:ind w:firstLine="480" w:firstLineChars="200"/>
        <w:rPr>
          <w:rFonts w:ascii="Times New Roman" w:hAnsi="Times New Roman" w:eastAsia="仿宋" w:cs="Times New Roman"/>
          <w:kern w:val="2"/>
          <w:sz w:val="24"/>
          <w:szCs w:val="24"/>
        </w:rPr>
      </w:pPr>
      <w:r>
        <w:rPr>
          <w:rFonts w:hint="eastAsia" w:ascii="Times New Roman" w:hAnsi="Times New Roman" w:eastAsia="仿宋" w:cs="Times New Roman"/>
          <w:kern w:val="2"/>
          <w:sz w:val="24"/>
          <w:szCs w:val="24"/>
        </w:rPr>
        <w:t>3.提供组织机构和岗位责任制度、办公及行为管理制度、财务管理制度、人力资源及薪酬制度等。</w:t>
      </w:r>
    </w:p>
    <w:p w14:paraId="4690FE52">
      <w:pPr>
        <w:pStyle w:val="2"/>
        <w:ind w:firstLine="480" w:firstLineChars="200"/>
        <w:rPr>
          <w:rFonts w:ascii="Times New Roman" w:hAnsi="Times New Roman" w:eastAsia="仿宋" w:cs="Times New Roman"/>
          <w:kern w:val="2"/>
          <w:sz w:val="24"/>
          <w:szCs w:val="24"/>
        </w:rPr>
      </w:pPr>
      <w:r>
        <w:rPr>
          <w:rFonts w:hint="eastAsia" w:ascii="Times New Roman" w:hAnsi="Times New Roman" w:eastAsia="仿宋" w:cs="Times New Roman"/>
          <w:kern w:val="2"/>
          <w:sz w:val="24"/>
          <w:szCs w:val="24"/>
        </w:rPr>
        <w:t>4.提供针对本项目的考核及奖惩办法。</w:t>
      </w:r>
    </w:p>
    <w:p w14:paraId="38FDB7B7">
      <w:pPr>
        <w:numPr>
          <w:ilvl w:val="0"/>
          <w:numId w:val="1"/>
        </w:numPr>
        <w:rPr>
          <w:rFonts w:hint="eastAsia" w:ascii="Times New Roman" w:hAnsi="Times New Roman" w:eastAsia="仿宋" w:cs="Times New Roman"/>
          <w:b/>
          <w:bCs/>
          <w:sz w:val="24"/>
          <w:lang w:val="en-US" w:eastAsia="zh-CN"/>
        </w:rPr>
      </w:pPr>
      <w:r>
        <w:rPr>
          <w:rFonts w:hint="eastAsia" w:ascii="Times New Roman" w:hAnsi="Times New Roman" w:eastAsia="仿宋" w:cs="Times New Roman"/>
          <w:b/>
          <w:bCs/>
          <w:sz w:val="24"/>
          <w:lang w:val="en-US" w:eastAsia="zh-CN"/>
        </w:rPr>
        <w:t>其他注意事项</w:t>
      </w:r>
    </w:p>
    <w:p w14:paraId="2B66A30D">
      <w:pPr>
        <w:snapToGrid w:val="0"/>
        <w:spacing w:beforeLines="10" w:afterLines="10" w:line="380" w:lineRule="exact"/>
        <w:ind w:firstLine="470" w:firstLineChars="196"/>
        <w:jc w:val="left"/>
        <w:rPr>
          <w:rFonts w:ascii="Times New Roman" w:hAnsi="Times New Roman" w:eastAsia="仿宋" w:cs="Times New Roman"/>
          <w:bCs/>
          <w:sz w:val="24"/>
        </w:rPr>
      </w:pPr>
      <w:r>
        <w:rPr>
          <w:rFonts w:ascii="Times New Roman" w:hAnsi="Times New Roman" w:eastAsia="仿宋" w:cs="Times New Roman"/>
          <w:bCs/>
          <w:sz w:val="24"/>
        </w:rPr>
        <w:t>1.法定代表人授权委托书必须由法定代表人及委托代理人签字，并加盖供应商公章，否则响应文件按无效响应处理。</w:t>
      </w:r>
    </w:p>
    <w:p w14:paraId="0AE6C75E">
      <w:pPr>
        <w:spacing w:beforeLines="10" w:afterLines="10" w:line="380" w:lineRule="exact"/>
        <w:ind w:firstLine="470" w:firstLineChars="196"/>
        <w:rPr>
          <w:rFonts w:ascii="Times New Roman" w:hAnsi="Times New Roman" w:eastAsia="仿宋" w:cs="Times New Roman"/>
          <w:bCs/>
          <w:sz w:val="24"/>
        </w:rPr>
      </w:pPr>
      <w:r>
        <w:rPr>
          <w:rFonts w:ascii="Times New Roman" w:hAnsi="Times New Roman" w:eastAsia="仿宋" w:cs="Times New Roman"/>
          <w:bCs/>
          <w:sz w:val="24"/>
        </w:rPr>
        <w:t>2.以上标明</w:t>
      </w:r>
      <w:r>
        <w:rPr>
          <w:rFonts w:hint="eastAsia" w:ascii="方正仿宋_GBK" w:hAnsi="方正仿宋_GBK" w:eastAsia="方正仿宋_GBK" w:cs="方正仿宋_GBK"/>
          <w:bCs/>
          <w:sz w:val="24"/>
        </w:rPr>
        <w:t>“必须提供”</w:t>
      </w:r>
      <w:r>
        <w:rPr>
          <w:rFonts w:ascii="Times New Roman" w:hAnsi="Times New Roman" w:eastAsia="仿宋" w:cs="Times New Roman"/>
          <w:bCs/>
          <w:sz w:val="24"/>
        </w:rPr>
        <w:t>的材料属于复印件的，必须加盖供应商公章，否则响应文件按无效响应处理。</w:t>
      </w:r>
    </w:p>
    <w:p w14:paraId="42064031">
      <w:pPr>
        <w:ind w:firstLine="449"/>
        <w:jc w:val="left"/>
        <w:rPr>
          <w:rFonts w:ascii="Times New Roman" w:hAnsi="Times New Roman" w:eastAsia="仿宋" w:cs="Times New Roman"/>
          <w:bCs/>
          <w:sz w:val="24"/>
        </w:rPr>
      </w:pPr>
      <w:r>
        <w:rPr>
          <w:rFonts w:ascii="Times New Roman" w:hAnsi="Times New Roman" w:eastAsia="仿宋" w:cs="Times New Roman"/>
          <w:bCs/>
          <w:sz w:val="24"/>
        </w:rPr>
        <w:t>3.以上材料格式由供应商自行拟定。</w:t>
      </w:r>
    </w:p>
    <w:p w14:paraId="480B8438">
      <w:pPr>
        <w:spacing w:beforeLines="10" w:afterLines="10" w:line="380" w:lineRule="exact"/>
        <w:ind w:firstLine="482" w:firstLineChars="200"/>
        <w:rPr>
          <w:rFonts w:ascii="Times New Roman" w:hAnsi="Times New Roman" w:eastAsia="仿宋" w:cs="Times New Roman"/>
          <w:b/>
          <w:sz w:val="24"/>
        </w:rPr>
      </w:pPr>
    </w:p>
    <w:p w14:paraId="0F55615F">
      <w:pPr>
        <w:pStyle w:val="2"/>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E879">
    <w:pPr>
      <w:pStyle w:val="2"/>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6A75BC">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06A75BC">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23183"/>
    <w:multiLevelType w:val="singleLevel"/>
    <w:tmpl w:val="DB7231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0F"/>
    <w:rsid w:val="001B000F"/>
    <w:rsid w:val="00201336"/>
    <w:rsid w:val="0024086F"/>
    <w:rsid w:val="003E2153"/>
    <w:rsid w:val="003F50AD"/>
    <w:rsid w:val="004139A0"/>
    <w:rsid w:val="004A53C0"/>
    <w:rsid w:val="004A6C6A"/>
    <w:rsid w:val="005219C8"/>
    <w:rsid w:val="00524C2B"/>
    <w:rsid w:val="006A1813"/>
    <w:rsid w:val="00802540"/>
    <w:rsid w:val="0085197F"/>
    <w:rsid w:val="008C10FB"/>
    <w:rsid w:val="009E41AB"/>
    <w:rsid w:val="00A31522"/>
    <w:rsid w:val="00A44538"/>
    <w:rsid w:val="00C0589B"/>
    <w:rsid w:val="00CA0F0B"/>
    <w:rsid w:val="00D8454D"/>
    <w:rsid w:val="00DC374A"/>
    <w:rsid w:val="00E43DF6"/>
    <w:rsid w:val="00E57682"/>
    <w:rsid w:val="00FA7074"/>
    <w:rsid w:val="00FC1EBC"/>
    <w:rsid w:val="00FE254E"/>
    <w:rsid w:val="00FE4E11"/>
    <w:rsid w:val="145E1DE0"/>
    <w:rsid w:val="3C25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0"/>
      <w:sz w:val="18"/>
      <w:szCs w:val="18"/>
    </w:rPr>
  </w:style>
  <w:style w:type="paragraph" w:styleId="3">
    <w:name w:val="annotation text"/>
    <w:basedOn w:val="1"/>
    <w:link w:val="8"/>
    <w:qFormat/>
    <w:uiPriority w:val="0"/>
    <w:pPr>
      <w:jc w:val="left"/>
    </w:p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2"/>
    <w:uiPriority w:val="99"/>
    <w:rPr>
      <w:rFonts w:asciiTheme="minorHAnsi" w:hAnsiTheme="minorHAnsi" w:eastAsiaTheme="minorEastAsia" w:cstheme="minorBidi"/>
      <w:sz w:val="18"/>
      <w:szCs w:val="18"/>
    </w:rPr>
  </w:style>
  <w:style w:type="character" w:customStyle="1" w:styleId="8">
    <w:name w:val="批注文字 Char"/>
    <w:basedOn w:val="6"/>
    <w:link w:val="3"/>
    <w:qFormat/>
    <w:uiPriority w:val="0"/>
    <w:rPr>
      <w:rFonts w:asciiTheme="minorHAnsi" w:hAnsiTheme="minorHAnsi" w:eastAsiaTheme="minorEastAsia" w:cstheme="minorBidi"/>
      <w:kern w:val="2"/>
      <w:sz w:val="21"/>
      <w:szCs w:val="24"/>
    </w:rPr>
  </w:style>
  <w:style w:type="character" w:customStyle="1" w:styleId="9">
    <w:name w:val="页眉 Char"/>
    <w:basedOn w:val="6"/>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1114</Words>
  <Characters>1129</Characters>
  <Lines>6</Lines>
  <Paragraphs>1</Paragraphs>
  <TotalTime>5</TotalTime>
  <ScaleCrop>false</ScaleCrop>
  <LinksUpToDate>false</LinksUpToDate>
  <CharactersWithSpaces>1129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2022-05-13T03:04:00Z</dcterms:created>
  <dc:creator>Administrator</dc:creator>
  <cp:lastModifiedBy>nine</cp:lastModifiedBy>
  <cp:lastPrinted>2025-06-11T02:28:26Z</cp:lastPrinted>
  <dcterms:modified xsi:type="dcterms:W3CDTF">2025-06-11T02:29:25Z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eyJoZGlkIjoiNmZiYTQ4OTUyOTMzNjRiYTc3NjM5Nzg1MzU5MmNlMmQiLCJ1c2VySWQiOiIzODQ2OTEyOTAifQ==</vt:lpwstr>
  </property>
  <property fmtid="{D5CDD505-2E9C-101B-9397-08002B2CF9AE}" pid="3" name="KSOProductBuildVer">
    <vt:lpwstr>2052-12.1.0.21541</vt:lpwstr>
  </property>
  <property fmtid="{D5CDD505-2E9C-101B-9397-08002B2CF9AE}" pid="4" name="ICV">
    <vt:lpwstr>EAD8D5DDFF274AB0B8B8324FFCA58EFE_13</vt:lpwstr>
  </property>
</Properties>
</file>