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42" w:rsidRDefault="00634942" w:rsidP="00634942">
      <w:pPr>
        <w:pStyle w:val="a5"/>
        <w:spacing w:line="525" w:lineRule="atLeast"/>
        <w:jc w:val="center"/>
        <w:rPr>
          <w:rFonts w:ascii="Arial" w:hAnsi="Arial" w:cs="Arial" w:hint="eastAsia"/>
          <w:color w:val="000000"/>
          <w:sz w:val="27"/>
          <w:szCs w:val="27"/>
        </w:rPr>
      </w:pPr>
      <w:r>
        <w:rPr>
          <w:rFonts w:ascii="方正小标宋_GBK" w:eastAsia="方正小标宋_GBK" w:hAnsi="方正小标宋_GBK" w:cs="Arial" w:hint="eastAsia"/>
          <w:color w:val="000000"/>
          <w:sz w:val="44"/>
          <w:szCs w:val="44"/>
        </w:rPr>
        <w:t>钦州市生态环境局地方性法规行政检查裁量权基准</w:t>
      </w:r>
    </w:p>
    <w:p w:rsidR="00634942" w:rsidRDefault="00634942" w:rsidP="00634942">
      <w:pPr>
        <w:pStyle w:val="a5"/>
        <w:spacing w:line="525" w:lineRule="atLeast"/>
        <w:jc w:val="center"/>
        <w:rPr>
          <w:rFonts w:ascii="Arial" w:hAnsi="Arial" w:cs="Arial"/>
          <w:color w:val="000000"/>
          <w:sz w:val="27"/>
          <w:szCs w:val="27"/>
        </w:rPr>
      </w:pPr>
      <w:r>
        <w:rPr>
          <w:rFonts w:ascii="方正小标宋_GBK" w:eastAsia="方正小标宋_GBK" w:hAnsi="方正小标宋_GBK" w:cs="Arial" w:hint="eastAsia"/>
          <w:color w:val="000000"/>
          <w:sz w:val="32"/>
          <w:szCs w:val="32"/>
        </w:rPr>
        <w:t>（征求意见稿）</w:t>
      </w:r>
    </w:p>
    <w:tbl>
      <w:tblPr>
        <w:tblW w:w="0" w:type="auto"/>
        <w:jc w:val="center"/>
        <w:tblCellMar>
          <w:top w:w="75" w:type="dxa"/>
          <w:left w:w="150" w:type="dxa"/>
          <w:bottom w:w="75" w:type="dxa"/>
          <w:right w:w="150" w:type="dxa"/>
        </w:tblCellMar>
        <w:tblLook w:val="04A0"/>
      </w:tblPr>
      <w:tblGrid>
        <w:gridCol w:w="500"/>
        <w:gridCol w:w="1584"/>
        <w:gridCol w:w="4519"/>
        <w:gridCol w:w="1843"/>
        <w:gridCol w:w="1417"/>
        <w:gridCol w:w="992"/>
        <w:gridCol w:w="999"/>
      </w:tblGrid>
      <w:tr w:rsidR="00634942" w:rsidRPr="00634942" w:rsidTr="00634942">
        <w:trPr>
          <w:trHeight w:val="465"/>
          <w:tblHeader/>
          <w:jc w:val="center"/>
        </w:trPr>
        <w:tc>
          <w:tcPr>
            <w:tcW w:w="50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序号</w:t>
            </w:r>
          </w:p>
        </w:tc>
        <w:tc>
          <w:tcPr>
            <w:tcW w:w="1584"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检查事项</w:t>
            </w:r>
          </w:p>
        </w:tc>
        <w:tc>
          <w:tcPr>
            <w:tcW w:w="451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法定依据</w:t>
            </w:r>
          </w:p>
        </w:tc>
        <w:tc>
          <w:tcPr>
            <w:tcW w:w="1843"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事项范围</w:t>
            </w:r>
          </w:p>
        </w:tc>
        <w:tc>
          <w:tcPr>
            <w:tcW w:w="1417"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检查方式</w:t>
            </w:r>
          </w:p>
        </w:tc>
        <w:tc>
          <w:tcPr>
            <w:tcW w:w="992"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检查频次</w:t>
            </w:r>
          </w:p>
        </w:tc>
        <w:tc>
          <w:tcPr>
            <w:tcW w:w="999"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05" w:lineRule="atLeast"/>
              <w:jc w:val="center"/>
              <w:textAlignment w:val="center"/>
              <w:rPr>
                <w:rFonts w:ascii="宋体" w:eastAsia="宋体" w:hAnsi="宋体" w:cs="宋体"/>
                <w:kern w:val="0"/>
                <w:sz w:val="24"/>
                <w:szCs w:val="24"/>
              </w:rPr>
            </w:pPr>
            <w:r w:rsidRPr="00634942">
              <w:rPr>
                <w:rFonts w:ascii="黑体" w:eastAsia="黑体" w:hAnsi="黑体" w:cs="宋体" w:hint="eastAsia"/>
                <w:color w:val="000000"/>
                <w:kern w:val="0"/>
                <w:sz w:val="29"/>
                <w:szCs w:val="29"/>
              </w:rPr>
              <w:t>检查权限</w:t>
            </w:r>
          </w:p>
        </w:tc>
      </w:tr>
      <w:tr w:rsidR="00634942" w:rsidRPr="00634942" w:rsidTr="00634942">
        <w:trPr>
          <w:trHeight w:val="2325"/>
          <w:jc w:val="center"/>
        </w:trPr>
        <w:tc>
          <w:tcPr>
            <w:tcW w:w="500" w:type="dxa"/>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360" w:lineRule="atLeast"/>
              <w:jc w:val="center"/>
              <w:textAlignment w:val="center"/>
              <w:rPr>
                <w:rFonts w:ascii="宋体" w:eastAsia="宋体" w:hAnsi="宋体" w:cs="宋体"/>
                <w:kern w:val="0"/>
                <w:sz w:val="24"/>
                <w:szCs w:val="24"/>
              </w:rPr>
            </w:pPr>
            <w:r w:rsidRPr="00634942">
              <w:rPr>
                <w:rFonts w:ascii="Times New Roman" w:eastAsia="宋体" w:hAnsi="Times New Roman" w:cs="Times New Roman"/>
                <w:color w:val="000000"/>
                <w:kern w:val="0"/>
                <w:sz w:val="29"/>
                <w:szCs w:val="29"/>
              </w:rPr>
              <w:t>1</w:t>
            </w:r>
          </w:p>
        </w:tc>
        <w:tc>
          <w:tcPr>
            <w:tcW w:w="158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4"/>
                <w:szCs w:val="24"/>
              </w:rPr>
            </w:pPr>
            <w:r w:rsidRPr="00634942">
              <w:rPr>
                <w:rFonts w:ascii="宋体" w:eastAsia="宋体" w:hAnsi="宋体" w:cs="宋体" w:hint="eastAsia"/>
                <w:kern w:val="0"/>
                <w:sz w:val="29"/>
                <w:szCs w:val="29"/>
              </w:rPr>
              <w:t>对城乡建设和管理中不文明行为的监督检查</w:t>
            </w:r>
          </w:p>
        </w:tc>
        <w:tc>
          <w:tcPr>
            <w:tcW w:w="45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4"/>
                <w:szCs w:val="24"/>
              </w:rPr>
            </w:pPr>
            <w:r w:rsidRPr="00634942">
              <w:rPr>
                <w:rFonts w:ascii="宋体" w:eastAsia="宋体" w:hAnsi="宋体" w:cs="宋体"/>
                <w:kern w:val="0"/>
                <w:sz w:val="29"/>
                <w:szCs w:val="29"/>
              </w:rPr>
              <w:t>《钦州市文明行为促进办法》第十三条城市管理、生态环境、住房和城乡建设等部门应当加强对城乡建设和管理中不文明行为的监督管理，依法及时制止和查处破坏市容环境，损坏公共设施、毁损绿地、污染水体空气、施工超标噪声等违法行为。</w:t>
            </w:r>
          </w:p>
        </w:tc>
        <w:tc>
          <w:tcPr>
            <w:tcW w:w="184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4"/>
                <w:szCs w:val="24"/>
              </w:rPr>
            </w:pPr>
            <w:r w:rsidRPr="00634942">
              <w:rPr>
                <w:rFonts w:ascii="宋体" w:eastAsia="宋体" w:hAnsi="宋体" w:cs="宋体" w:hint="eastAsia"/>
                <w:kern w:val="0"/>
                <w:sz w:val="29"/>
                <w:szCs w:val="29"/>
              </w:rPr>
              <w:t>对辖区内存在对城乡建设和管理不文明行为的单位（个人）执行法律、法规、规章的情况进行监督检查。</w:t>
            </w:r>
          </w:p>
        </w:tc>
        <w:tc>
          <w:tcPr>
            <w:tcW w:w="141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现场检查</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不定期检查</w:t>
            </w:r>
          </w:p>
        </w:tc>
        <w:tc>
          <w:tcPr>
            <w:tcW w:w="99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市级、县级</w:t>
            </w:r>
          </w:p>
        </w:tc>
      </w:tr>
      <w:tr w:rsidR="00634942" w:rsidRPr="00634942" w:rsidTr="00634942">
        <w:trPr>
          <w:trHeight w:val="1410"/>
          <w:jc w:val="center"/>
        </w:trPr>
        <w:tc>
          <w:tcPr>
            <w:tcW w:w="500" w:type="dxa"/>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kern w:val="0"/>
                <w:sz w:val="29"/>
                <w:szCs w:val="29"/>
              </w:rPr>
              <w:lastRenderedPageBreak/>
              <w:t>2</w:t>
            </w:r>
          </w:p>
        </w:tc>
        <w:tc>
          <w:tcPr>
            <w:tcW w:w="158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对饮用水水源保护区内排污活动的监督检查</w:t>
            </w:r>
          </w:p>
        </w:tc>
        <w:tc>
          <w:tcPr>
            <w:tcW w:w="451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kern w:val="0"/>
                <w:sz w:val="29"/>
                <w:szCs w:val="29"/>
              </w:rPr>
              <w:t>《钦州市饮用水水源保护条例》第六条第一款第一项市、县（区）人民政府有关行政主管部门，应当按照各自职责，做好饮用水水源保护的监督管理工作：环境保护主管部门对饮用水水源污染防治实施统一监督管理，负责组织划定饮用水水源保护区并会同水行政等主管部门制定饮用水水源保护区环境保护和污染防治规划，对饮用水水源保护区的环境质量进行监测和评估，监督执行污染物排放总量控制制度和实施排污许可证制度，依法对影响饮用水水源水质的污染物排放行为进行处理等。</w:t>
            </w:r>
          </w:p>
        </w:tc>
        <w:tc>
          <w:tcPr>
            <w:tcW w:w="184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对辖区内涉及饮用水水源保护区活动的单位（个人）等执行法律、法规、规章的情况进行监督检查。</w:t>
            </w:r>
          </w:p>
        </w:tc>
        <w:tc>
          <w:tcPr>
            <w:tcW w:w="1417"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现场检查</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不定期检查</w:t>
            </w:r>
          </w:p>
        </w:tc>
        <w:tc>
          <w:tcPr>
            <w:tcW w:w="99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hint="eastAsia"/>
                <w:kern w:val="0"/>
                <w:sz w:val="29"/>
                <w:szCs w:val="29"/>
              </w:rPr>
              <w:t>市级、县级</w:t>
            </w:r>
          </w:p>
        </w:tc>
      </w:tr>
    </w:tbl>
    <w:p w:rsidR="00634942" w:rsidRPr="00634942" w:rsidRDefault="00634942" w:rsidP="00634942">
      <w:pPr>
        <w:widowControl/>
        <w:wordWrap w:val="0"/>
        <w:spacing w:line="460" w:lineRule="exact"/>
        <w:jc w:val="left"/>
        <w:textAlignment w:val="center"/>
        <w:rPr>
          <w:rFonts w:ascii="宋体" w:eastAsia="宋体" w:hAnsi="宋体" w:cs="宋体"/>
          <w:kern w:val="0"/>
          <w:sz w:val="29"/>
          <w:szCs w:val="29"/>
        </w:rPr>
      </w:pPr>
      <w:r w:rsidRPr="00634942">
        <w:rPr>
          <w:rFonts w:ascii="宋体" w:eastAsia="宋体" w:hAnsi="宋体" w:cs="宋体"/>
          <w:kern w:val="0"/>
          <w:sz w:val="29"/>
          <w:szCs w:val="29"/>
        </w:rPr>
        <w:lastRenderedPageBreak/>
        <w:t> </w:t>
      </w:r>
    </w:p>
    <w:p w:rsidR="00897440" w:rsidRDefault="00897440"/>
    <w:sectPr w:rsidR="00897440" w:rsidSect="0063494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440" w:rsidRDefault="00897440" w:rsidP="00634942">
      <w:r>
        <w:separator/>
      </w:r>
    </w:p>
  </w:endnote>
  <w:endnote w:type="continuationSeparator" w:id="1">
    <w:p w:rsidR="00897440" w:rsidRDefault="00897440" w:rsidP="00634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440" w:rsidRDefault="00897440" w:rsidP="00634942">
      <w:r>
        <w:separator/>
      </w:r>
    </w:p>
  </w:footnote>
  <w:footnote w:type="continuationSeparator" w:id="1">
    <w:p w:rsidR="00897440" w:rsidRDefault="00897440" w:rsidP="00634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4942"/>
    <w:rsid w:val="00634942"/>
    <w:rsid w:val="008974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4942"/>
    <w:rPr>
      <w:sz w:val="18"/>
      <w:szCs w:val="18"/>
    </w:rPr>
  </w:style>
  <w:style w:type="paragraph" w:styleId="a4">
    <w:name w:val="footer"/>
    <w:basedOn w:val="a"/>
    <w:link w:val="Char0"/>
    <w:uiPriority w:val="99"/>
    <w:semiHidden/>
    <w:unhideWhenUsed/>
    <w:rsid w:val="006349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4942"/>
    <w:rPr>
      <w:sz w:val="18"/>
      <w:szCs w:val="18"/>
    </w:rPr>
  </w:style>
  <w:style w:type="paragraph" w:styleId="a5">
    <w:name w:val="Normal (Web)"/>
    <w:basedOn w:val="a"/>
    <w:uiPriority w:val="99"/>
    <w:unhideWhenUsed/>
    <w:rsid w:val="006349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6658369">
      <w:bodyDiv w:val="1"/>
      <w:marLeft w:val="0"/>
      <w:marRight w:val="0"/>
      <w:marTop w:val="0"/>
      <w:marBottom w:val="0"/>
      <w:divBdr>
        <w:top w:val="none" w:sz="0" w:space="0" w:color="auto"/>
        <w:left w:val="none" w:sz="0" w:space="0" w:color="auto"/>
        <w:bottom w:val="none" w:sz="0" w:space="0" w:color="auto"/>
        <w:right w:val="none" w:sz="0" w:space="0" w:color="auto"/>
      </w:divBdr>
    </w:div>
    <w:div w:id="1500929152">
      <w:bodyDiv w:val="1"/>
      <w:marLeft w:val="0"/>
      <w:marRight w:val="0"/>
      <w:marTop w:val="0"/>
      <w:marBottom w:val="0"/>
      <w:divBdr>
        <w:top w:val="none" w:sz="0" w:space="0" w:color="auto"/>
        <w:left w:val="none" w:sz="0" w:space="0" w:color="auto"/>
        <w:bottom w:val="none" w:sz="0" w:space="0" w:color="auto"/>
        <w:right w:val="none" w:sz="0" w:space="0" w:color="auto"/>
      </w:divBdr>
      <w:divsChild>
        <w:div w:id="186640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2024-05-20T09:50:00Z</dcterms:created>
  <dcterms:modified xsi:type="dcterms:W3CDTF">2024-05-20T09:56:00Z</dcterms:modified>
</cp:coreProperties>
</file>